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仿宋" w:hAnsi="仿宋" w:eastAsia="仿宋" w:cs="仿宋"/>
          <w:b/>
          <w:lang w:val="en-US" w:eastAsia="zh-CN"/>
        </w:rPr>
      </w:pPr>
      <w:bookmarkStart w:id="0" w:name="_GoBack"/>
      <w:bookmarkEnd w:id="0"/>
      <w:r>
        <w:rPr>
          <w:rFonts w:hint="eastAsia" w:ascii="仿宋" w:hAnsi="仿宋" w:eastAsia="仿宋" w:cs="仿宋"/>
          <w:b/>
          <w:lang w:val="en-US" w:eastAsia="zh-CN"/>
        </w:rPr>
        <w:t>评审标准和方法</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一、评审原则</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根据《中华人民共和国政府采购法》、《政府采购竞争性磋商采购方式管理暂行办法》及有关规定，结合本次采购项目的实际情况，在坚持公平、公正、科学、择优的原则基础上，由磋商小组根据磋商文件载明的评审办法和标准，对供应商进行综合评定。</w:t>
      </w:r>
    </w:p>
    <w:p>
      <w:pPr>
        <w:numPr>
          <w:ilvl w:val="0"/>
          <w:numId w:val="0"/>
        </w:num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bidi="ar-SA"/>
        </w:rPr>
        <w:t>二、</w:t>
      </w:r>
      <w:r>
        <w:rPr>
          <w:rFonts w:hint="eastAsia" w:ascii="宋体" w:hAnsi="宋体" w:eastAsia="宋体" w:cs="宋体"/>
          <w:snapToGrid w:val="0"/>
          <w:color w:val="000000"/>
          <w:kern w:val="0"/>
          <w:sz w:val="21"/>
          <w:szCs w:val="21"/>
          <w:lang w:val="en-US" w:eastAsia="zh-CN"/>
        </w:rPr>
        <w:t>磋商小组的组成</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采购人依法组建磋商小组，磋商小组由采购人从专家库中随机抽取的有关技术、经济等方面的专家2人和1名采购人代表共3人组成。其中技术、经济专家不少于评委成员总数的三分之二。磋商小组组长由磋商小组成员推选产生。与供应商有隶属和利益关系的专家不能担任评委。</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三、评审办法：用综合评分法</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四、评审程序</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磋商小组按照磋商文件中规定的评审方法和标准，对资格性审查和符合性审查合格的响应文件进行详细评审，综合比较与评价。</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1、初步评审</w:t>
      </w:r>
    </w:p>
    <w:p>
      <w:pPr>
        <w:numPr>
          <w:ilvl w:val="0"/>
          <w:numId w:val="0"/>
        </w:num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zh-CN"/>
        </w:rPr>
        <w:t>资格性审查。磋商小组首先按竞争性磋商文件要求，在法人营业执照等方面对各供应商进行审查，供应商不符合资格标审查条件的，应否决其响应文件，按无效处理。只有资格条件合格的攻速，才能进入下一步评审。具体评审内容详见后附《资格审查表》。</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符合性审查。磋商小组按竞争性磋商文件要求对供应商的响应文件进行初步评审，确认其响应文件是否在实质上响应磋商文件的要求，符合要求的供应商响应文件可进入下一步评审。具体评审内容见《符合性审查表》。</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（3）技术部分综合打分。具体打分内容见《综合评审表》。</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2、澄清有关问题</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对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响应文件的范围或者改变响应文件的实质性内容。</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3、磋商程序</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（1）磋商小组对通过资格性审查和符合性审查的响应文件进行评估，确定与各供应商磋商的具体内容（如有）。</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（2）围绕磋商要点，磋商小组全体成员集中与单一供应商分别进行磋商。逐家磋商一次为一个轮次。</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供应商应根据磋商小组的要求，以书面形式在规定时间内做出响应，未作出响应的响应文件将被视为无效投标。</w:t>
      </w: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磋商结束后，磋商小组将要求所有实质性响应磋商文件的供应商在规定时间内提交最后报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pPr>
        <w:kinsoku w:val="0"/>
        <w:autoSpaceDE w:val="0"/>
        <w:autoSpaceDN w:val="0"/>
        <w:bidi w:val="0"/>
        <w:spacing w:after="0" w:line="360" w:lineRule="auto"/>
        <w:ind w:firstLine="420" w:firstLineChars="0"/>
        <w:jc w:val="left"/>
        <w:textAlignment w:val="baseline"/>
        <w:rPr>
          <w:rFonts w:hint="default"/>
          <w:lang w:val="en-US" w:eastAsia="zh-CN"/>
        </w:rPr>
      </w:pPr>
      <w:r>
        <w:rPr>
          <w:rFonts w:hint="eastAsia" w:ascii="宋体" w:hAnsi="宋体" w:eastAsia="宋体" w:cs="宋体"/>
          <w:snapToGrid w:val="0"/>
          <w:color w:val="000000"/>
          <w:kern w:val="0"/>
          <w:sz w:val="21"/>
          <w:szCs w:val="21"/>
          <w:lang w:val="en-US" w:eastAsia="zh-CN"/>
        </w:rPr>
        <w:t>注：磋商结束后，最后报价不再向供应商公布。供应商的最后报价不得高于首次报价。</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磋商小组依据磋商文件所确定的评选办法进行打分。并按照综合得分高低推荐前三名为成交候选供应商。如果评审得分相同，按照最后报价由低到高的顺序推荐；如果评审得分和最后报价均相同，则按照技术标优劣顺序推荐。</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5、磋商小组对未成交者不予说明未成交原因；磋商过程保密；磋商期间，供应商企图影响评审工作的任何不当言行将导致被拒绝。</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6、技术打分</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（1）评委为各供应商打分，总分合成后平均即为各供应商最后评分。</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（2）供应商汇总得分为评分标准的所有部分之和，即供应商总得分=商务部分得分+技术部分得分+投标报价得分。</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7、磋商小组工作纪律</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（1）评审小组成员应当客观、公正地履行职责，遵守职业道德，对所提出的评审意见承担个人责任。</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评审过程中采购人的代表不得发表超出评审文件规定内容的、带有倾向性或引导性的言论，如关于供应商的考察等情况。评审小组其他成员应充分发挥个人技术能力、水平，依据磋商文件独立进行评审工作。</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（3）在评审过程中，评审小组成员发现供应商以他人的名义竞标、串通竞标或者以其他弄虚作假方式竞标的，应否决该供应商响应文件，并将有关情况记录于评审报告。</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（4）评审小组成员应当依据法律法规和规章的规定，对应当回避的评审活动主动提出回避；不得与任何供应商进行私下接触，收受供应商的财物或者其他好处。</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（5）评审小组成员和与评审活动有关的工作人员不得透露对响应文件的评审和比较、成交候选人的推荐情况以及与评审有关的其他情况。</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（6）有下列情形之一的，不得担任评审小组成员：</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1）供应商或者供应商主要负责人的近亲属；</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2）项目主管部门或者行政监督部门的人员；</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3）与供应商有经济利益关系，可能影响对竞标公正评审的；</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4）曾因在评审以及其他与招标有关活动中从事违法行为而受过行政处罚或刑事处罚的。评审小组成员有前款规定情形之一的，应当主动提出回避。</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磋商小组应当根据综合评分情况，按照评审得分由高到低顺序推荐前三名成交候选供应商，并编写评审报告。评审得分相同的，按照最后报价由低到高的顺序推荐。评审得分且最后报价相同的，按照项目实施方案得分由高到低顺序推荐。确定排名第一的成交候选供应商为成交供应商，若排名第一的成交候选供应商不能履约时，根据采购项目需求和供应商响应情况，确定由第二名成交候选供应商替补，以此类推至第三名，或重新组织采购。</w:t>
      </w:r>
    </w:p>
    <w:p>
      <w:pPr>
        <w:pStyle w:val="8"/>
        <w:rPr>
          <w:rFonts w:hint="eastAsia" w:ascii="宋体" w:hAnsi="宋体" w:eastAsia="宋体" w:cs="宋体"/>
          <w:snapToGrid w:val="0"/>
          <w:color w:val="000000"/>
          <w:kern w:val="0"/>
          <w:sz w:val="21"/>
          <w:szCs w:val="21"/>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yellow"/>
          <w:lang w:val="en-US" w:eastAsia="zh-CN"/>
        </w:rPr>
      </w:pPr>
    </w:p>
    <w:p>
      <w:pPr>
        <w:pStyle w:val="9"/>
        <w:rPr>
          <w:rFonts w:hint="default"/>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附表一：资格评审表</w:t>
      </w:r>
    </w:p>
    <w:p>
      <w:pPr>
        <w:kinsoku w:val="0"/>
        <w:autoSpaceDE w:val="0"/>
        <w:autoSpaceDN w:val="0"/>
        <w:bidi w:val="0"/>
        <w:spacing w:after="0" w:line="360" w:lineRule="auto"/>
        <w:jc w:val="center"/>
        <w:textAlignment w:val="baseline"/>
        <w:rPr>
          <w:rFonts w:hint="eastAsia" w:ascii="宋体" w:hAnsi="宋体" w:eastAsia="宋体" w:cs="宋体"/>
          <w:b/>
          <w:bCs/>
          <w:snapToGrid w:val="0"/>
          <w:color w:val="000000"/>
          <w:kern w:val="0"/>
          <w:sz w:val="22"/>
          <w:szCs w:val="22"/>
          <w:vertAlign w:val="baseline"/>
          <w:lang w:val="en-US" w:eastAsia="zh-CN"/>
        </w:rPr>
      </w:pPr>
      <w:r>
        <w:rPr>
          <w:rFonts w:hint="eastAsia" w:ascii="宋体" w:hAnsi="宋体" w:eastAsia="宋体" w:cs="宋体"/>
          <w:b/>
          <w:bCs/>
          <w:snapToGrid w:val="0"/>
          <w:color w:val="000000"/>
          <w:kern w:val="0"/>
          <w:sz w:val="22"/>
          <w:szCs w:val="22"/>
          <w:lang w:val="en-US" w:eastAsia="zh-CN"/>
        </w:rPr>
        <w:t>资格评审表</w:t>
      </w:r>
    </w:p>
    <w:tbl>
      <w:tblPr>
        <w:tblStyle w:val="11"/>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873"/>
        <w:gridCol w:w="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96"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序号</w:t>
            </w:r>
          </w:p>
        </w:tc>
        <w:tc>
          <w:tcPr>
            <w:tcW w:w="3873"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评审因素</w:t>
            </w:r>
          </w:p>
        </w:tc>
        <w:tc>
          <w:tcPr>
            <w:tcW w:w="4109"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96"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3873"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法定代表人身份证明及法定代表人身份证或法定代表人授权委托书及委托代理人身份证</w:t>
            </w:r>
          </w:p>
        </w:tc>
        <w:tc>
          <w:tcPr>
            <w:tcW w:w="4109"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有效，符合竞争性磋商文件要求为合格，</w:t>
            </w:r>
            <w:r>
              <w:rPr>
                <w:rFonts w:hint="eastAsia" w:ascii="宋体" w:hAnsi="宋体" w:eastAsia="宋体" w:cs="宋体"/>
                <w:snapToGrid w:val="0"/>
                <w:color w:val="000000"/>
                <w:kern w:val="0"/>
                <w:sz w:val="21"/>
                <w:szCs w:val="21"/>
                <w:vertAlign w:val="baseline"/>
                <w:lang w:val="en-US" w:eastAsia="zh-CN"/>
              </w:rPr>
              <w:t>否则为不合格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96"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3873"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企业法人营业执照或事业单位法人证书</w:t>
            </w:r>
          </w:p>
        </w:tc>
        <w:tc>
          <w:tcPr>
            <w:tcW w:w="4109"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具备并有效为合格，</w:t>
            </w:r>
            <w:r>
              <w:rPr>
                <w:rFonts w:hint="eastAsia" w:ascii="宋体" w:hAnsi="宋体" w:eastAsia="宋体" w:cs="宋体"/>
                <w:snapToGrid w:val="0"/>
                <w:color w:val="000000"/>
                <w:kern w:val="0"/>
                <w:sz w:val="21"/>
                <w:szCs w:val="21"/>
                <w:vertAlign w:val="baseline"/>
                <w:lang w:val="en-US" w:eastAsia="zh-CN"/>
              </w:rPr>
              <w:t>否则为不合格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96"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3873"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开户许可证或银行基本户证明材料</w:t>
            </w:r>
          </w:p>
        </w:tc>
        <w:tc>
          <w:tcPr>
            <w:tcW w:w="4109"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具备并有效为合格，</w:t>
            </w:r>
            <w:r>
              <w:rPr>
                <w:rFonts w:hint="eastAsia" w:ascii="宋体" w:hAnsi="宋体" w:eastAsia="宋体" w:cs="宋体"/>
                <w:snapToGrid w:val="0"/>
                <w:color w:val="000000"/>
                <w:kern w:val="0"/>
                <w:sz w:val="21"/>
                <w:szCs w:val="21"/>
                <w:vertAlign w:val="baseline"/>
                <w:lang w:val="en-US" w:eastAsia="zh-CN"/>
              </w:rPr>
              <w:t>否则为不合格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96"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3873"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供应商出具的前三年内在经营活动中没有重大违法记录的书面声明</w:t>
            </w:r>
          </w:p>
        </w:tc>
        <w:tc>
          <w:tcPr>
            <w:tcW w:w="4109"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有效为合格，</w:t>
            </w:r>
            <w:r>
              <w:rPr>
                <w:rFonts w:hint="eastAsia" w:ascii="宋体" w:hAnsi="宋体" w:eastAsia="宋体" w:cs="宋体"/>
                <w:snapToGrid w:val="0"/>
                <w:color w:val="000000"/>
                <w:kern w:val="0"/>
                <w:sz w:val="21"/>
                <w:szCs w:val="21"/>
                <w:vertAlign w:val="baseline"/>
                <w:lang w:val="en-US" w:eastAsia="zh-CN"/>
              </w:rPr>
              <w:t>否则为不合格</w:t>
            </w:r>
            <w:r>
              <w:rPr>
                <w:rFonts w:hint="eastAsia" w:ascii="宋体" w:hAnsi="宋体" w:eastAsia="宋体" w:cs="宋体"/>
                <w:bCs/>
                <w:snapToGrid w:val="0"/>
                <w:color w:val="000000"/>
                <w:kern w:val="0"/>
                <w:sz w:val="21"/>
                <w:szCs w:val="21"/>
                <w:lang w:val="en-US"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796"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3873"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未被列入“中国执行信息公开网”失信被执行人名单、“信用中国”重大税收违法失信主体和政府采购严重违法失信行为记录名单和“中国政府采购网”政府采购严重违法失信行为记录名单</w:t>
            </w:r>
          </w:p>
        </w:tc>
        <w:tc>
          <w:tcPr>
            <w:tcW w:w="4109"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网站打印页加盖单位公章，未被列入为合格，否则为不合格。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96"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3873" w:type="dxa"/>
            <w:vAlign w:val="center"/>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结论（合格√或不合格×）</w:t>
            </w:r>
          </w:p>
        </w:tc>
        <w:tc>
          <w:tcPr>
            <w:tcW w:w="4109" w:type="dxa"/>
            <w:vAlign w:val="center"/>
          </w:tcPr>
          <w:p>
            <w:pPr>
              <w:pStyle w:val="13"/>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p>
        </w:tc>
      </w:tr>
    </w:tbl>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说明：以上证件在响应文件中附复印件并加盖单位公章，上述证件如正在办理年检，应当出具行政主管部门的相关证明材料原件。</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附表二：符合性评审表</w:t>
      </w:r>
    </w:p>
    <w:p>
      <w:pPr>
        <w:kinsoku w:val="0"/>
        <w:autoSpaceDE w:val="0"/>
        <w:autoSpaceDN w:val="0"/>
        <w:bidi w:val="0"/>
        <w:spacing w:after="0" w:line="360" w:lineRule="auto"/>
        <w:jc w:val="center"/>
        <w:textAlignment w:val="baseline"/>
        <w:rPr>
          <w:rFonts w:hint="eastAsia"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符合性评审表</w:t>
      </w:r>
    </w:p>
    <w:tbl>
      <w:tblPr>
        <w:tblStyle w:val="11"/>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638"/>
        <w:gridCol w:w="4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64"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序号</w:t>
            </w:r>
          </w:p>
        </w:tc>
        <w:tc>
          <w:tcPr>
            <w:tcW w:w="263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评审因素</w:t>
            </w:r>
          </w:p>
        </w:tc>
        <w:tc>
          <w:tcPr>
            <w:tcW w:w="4137"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评审标准</w:t>
            </w:r>
          </w:p>
        </w:tc>
        <w:tc>
          <w:tcPr>
            <w:tcW w:w="113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合格√</w:t>
            </w:r>
          </w:p>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64"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响应文件盖章及签字</w:t>
            </w:r>
          </w:p>
        </w:tc>
        <w:tc>
          <w:tcPr>
            <w:tcW w:w="413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按照磋商文件要求，印章签字齐全的为合格；否则为不合格</w:t>
            </w:r>
          </w:p>
        </w:tc>
        <w:tc>
          <w:tcPr>
            <w:tcW w:w="113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64"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响应文件份数及格式内容</w:t>
            </w:r>
          </w:p>
        </w:tc>
        <w:tc>
          <w:tcPr>
            <w:tcW w:w="413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满足响应文件份数要求及格式内容编制为合格，否则为不合格</w:t>
            </w:r>
          </w:p>
        </w:tc>
        <w:tc>
          <w:tcPr>
            <w:tcW w:w="113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4"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shd w:val="clear" w:color="auto" w:fill="auto"/>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供应商名称</w:t>
            </w:r>
          </w:p>
        </w:tc>
        <w:tc>
          <w:tcPr>
            <w:tcW w:w="4137"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与营业执照一致</w:t>
            </w:r>
            <w:r>
              <w:rPr>
                <w:rFonts w:hint="eastAsia" w:ascii="宋体" w:hAnsi="宋体" w:eastAsia="宋体" w:cs="宋体"/>
                <w:snapToGrid w:val="0"/>
                <w:color w:val="000000"/>
                <w:kern w:val="0"/>
                <w:sz w:val="21"/>
                <w:szCs w:val="21"/>
                <w:vertAlign w:val="baseline"/>
                <w:lang w:val="en-US" w:eastAsia="zh-CN"/>
              </w:rPr>
              <w:t>为合格，否则为不合格</w:t>
            </w:r>
          </w:p>
        </w:tc>
        <w:tc>
          <w:tcPr>
            <w:tcW w:w="1138"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shd w:val="clear" w:color="auto" w:fill="auto"/>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投标报价</w:t>
            </w:r>
          </w:p>
        </w:tc>
        <w:tc>
          <w:tcPr>
            <w:tcW w:w="4137"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符合磋商文件要求</w:t>
            </w:r>
            <w:r>
              <w:rPr>
                <w:rFonts w:hint="eastAsia" w:ascii="宋体" w:hAnsi="宋体" w:eastAsia="宋体" w:cs="宋体"/>
                <w:snapToGrid w:val="0"/>
                <w:color w:val="000000"/>
                <w:kern w:val="0"/>
                <w:sz w:val="21"/>
                <w:szCs w:val="21"/>
                <w:vertAlign w:val="baseline"/>
                <w:lang w:val="en-US" w:eastAsia="zh-CN"/>
              </w:rPr>
              <w:t>为合格，否则为不合格</w:t>
            </w:r>
          </w:p>
        </w:tc>
        <w:tc>
          <w:tcPr>
            <w:tcW w:w="1138"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shd w:val="clear" w:color="auto" w:fill="auto"/>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质量</w:t>
            </w:r>
          </w:p>
        </w:tc>
        <w:tc>
          <w:tcPr>
            <w:tcW w:w="4137"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符合磋商文件要求</w:t>
            </w:r>
            <w:r>
              <w:rPr>
                <w:rFonts w:hint="eastAsia" w:ascii="宋体" w:hAnsi="宋体" w:eastAsia="宋体" w:cs="宋体"/>
                <w:snapToGrid w:val="0"/>
                <w:color w:val="000000"/>
                <w:kern w:val="0"/>
                <w:sz w:val="21"/>
                <w:szCs w:val="21"/>
                <w:vertAlign w:val="baseline"/>
                <w:lang w:val="en-US" w:eastAsia="zh-CN"/>
              </w:rPr>
              <w:t>为合格，否则为不合格</w:t>
            </w:r>
          </w:p>
        </w:tc>
        <w:tc>
          <w:tcPr>
            <w:tcW w:w="1138"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shd w:val="clear" w:color="auto" w:fill="auto"/>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服务期限</w:t>
            </w:r>
          </w:p>
        </w:tc>
        <w:tc>
          <w:tcPr>
            <w:tcW w:w="4137"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符合磋商文件要求</w:t>
            </w:r>
            <w:r>
              <w:rPr>
                <w:rFonts w:hint="eastAsia" w:ascii="宋体" w:hAnsi="宋体" w:eastAsia="宋体" w:cs="宋体"/>
                <w:snapToGrid w:val="0"/>
                <w:color w:val="000000"/>
                <w:kern w:val="0"/>
                <w:sz w:val="21"/>
                <w:szCs w:val="21"/>
                <w:vertAlign w:val="baseline"/>
                <w:lang w:val="en-US" w:eastAsia="zh-CN"/>
              </w:rPr>
              <w:t>为合格，否则为不合格</w:t>
            </w:r>
          </w:p>
        </w:tc>
        <w:tc>
          <w:tcPr>
            <w:tcW w:w="1138"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shd w:val="clear" w:color="auto" w:fill="auto"/>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磋商有效期</w:t>
            </w:r>
          </w:p>
        </w:tc>
        <w:tc>
          <w:tcPr>
            <w:tcW w:w="4137"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符合磋商文件要求</w:t>
            </w:r>
            <w:r>
              <w:rPr>
                <w:rFonts w:hint="eastAsia" w:ascii="宋体" w:hAnsi="宋体" w:eastAsia="宋体" w:cs="宋体"/>
                <w:snapToGrid w:val="0"/>
                <w:color w:val="000000"/>
                <w:kern w:val="0"/>
                <w:sz w:val="21"/>
                <w:szCs w:val="21"/>
                <w:vertAlign w:val="baseline"/>
                <w:lang w:val="en-US" w:eastAsia="zh-CN"/>
              </w:rPr>
              <w:t>为合格，否则为不合格</w:t>
            </w:r>
          </w:p>
        </w:tc>
        <w:tc>
          <w:tcPr>
            <w:tcW w:w="1138"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64"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shd w:val="clear" w:color="auto" w:fill="auto"/>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磋商文件规定的其他实质性内容</w:t>
            </w:r>
          </w:p>
        </w:tc>
        <w:tc>
          <w:tcPr>
            <w:tcW w:w="4137" w:type="dxa"/>
            <w:vAlign w:val="center"/>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符合磋商文件要求</w:t>
            </w:r>
          </w:p>
        </w:tc>
        <w:tc>
          <w:tcPr>
            <w:tcW w:w="1138"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64"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2638" w:type="dxa"/>
            <w:shd w:val="clear" w:color="auto" w:fill="auto"/>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结论（合格√或不合格×）</w:t>
            </w:r>
          </w:p>
        </w:tc>
        <w:tc>
          <w:tcPr>
            <w:tcW w:w="4137" w:type="dxa"/>
            <w:vAlign w:val="center"/>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c>
          <w:tcPr>
            <w:tcW w:w="1138" w:type="dxa"/>
            <w:vAlign w:val="top"/>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p>
        </w:tc>
      </w:tr>
    </w:tbl>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附表三：综合评审表</w:t>
      </w:r>
    </w:p>
    <w:p>
      <w:pPr>
        <w:kinsoku w:val="0"/>
        <w:autoSpaceDE w:val="0"/>
        <w:autoSpaceDN w:val="0"/>
        <w:bidi w:val="0"/>
        <w:spacing w:after="0" w:line="360" w:lineRule="auto"/>
        <w:jc w:val="center"/>
        <w:textAlignment w:val="baseline"/>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综合评审（100分）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581"/>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序号</w:t>
            </w:r>
          </w:p>
        </w:tc>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center"/>
              <w:textAlignment w:val="baseline"/>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评分内容</w:t>
            </w:r>
          </w:p>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bidi="ar-SA"/>
              </w:rPr>
              <w:t>及分值</w:t>
            </w:r>
          </w:p>
        </w:tc>
        <w:tc>
          <w:tcPr>
            <w:tcW w:w="627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kinsoku w:val="0"/>
              <w:autoSpaceDE w:val="0"/>
              <w:autoSpaceDN w:val="0"/>
              <w:bidi w:val="0"/>
              <w:spacing w:after="0" w:line="360" w:lineRule="auto"/>
              <w:jc w:val="left"/>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一、报价得分（20分）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center"/>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bidi="ar-SA"/>
              </w:rPr>
              <w:t>1</w:t>
            </w:r>
          </w:p>
        </w:tc>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center"/>
              <w:textAlignment w:val="baseline"/>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投标报价得分</w:t>
            </w:r>
          </w:p>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center"/>
              <w:textAlignment w:val="baseline"/>
              <w:rPr>
                <w:rFonts w:hint="default"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（20分）</w:t>
            </w:r>
          </w:p>
        </w:tc>
        <w:tc>
          <w:tcPr>
            <w:tcW w:w="62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default"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所有有效最后报价的最低报价为磋商基准价，得满分20分，其他供应商的价格分按照下列公式计算：</w:t>
            </w:r>
          </w:p>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磋商报价得分=（磋商基准价/最后报价）*20</w:t>
            </w:r>
          </w:p>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lang w:val="en-US" w:eastAsia="zh-CN"/>
              </w:rPr>
            </w:pPr>
            <w:r>
              <w:rPr>
                <w:rFonts w:hint="eastAsia" w:ascii="宋体" w:hAnsi="宋体" w:eastAsia="宋体" w:cs="宋体"/>
                <w:bCs/>
                <w:snapToGrid w:val="0"/>
                <w:color w:val="000000"/>
                <w:kern w:val="0"/>
                <w:sz w:val="21"/>
                <w:szCs w:val="21"/>
                <w:lang w:val="en-US" w:eastAsia="zh-CN" w:bidi="ar-SA"/>
              </w:rPr>
              <w:t>（小数点后保留二位小数，四舍五入）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kinsoku w:val="0"/>
              <w:autoSpaceDE w:val="0"/>
              <w:autoSpaceDN w:val="0"/>
              <w:bidi w:val="0"/>
              <w:spacing w:after="0" w:line="360" w:lineRule="auto"/>
              <w:jc w:val="left"/>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二、服务方案得分（80分）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70"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序号</w:t>
            </w:r>
          </w:p>
        </w:tc>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center"/>
              <w:textAlignment w:val="baseline"/>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评分内容</w:t>
            </w:r>
          </w:p>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bidi="ar-SA"/>
              </w:rPr>
              <w:t>及分值</w:t>
            </w:r>
          </w:p>
        </w:tc>
        <w:tc>
          <w:tcPr>
            <w:tcW w:w="627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670" w:type="dxa"/>
            <w:vAlign w:val="center"/>
          </w:tcPr>
          <w:p>
            <w:pPr>
              <w:widowControl w:val="0"/>
              <w:kinsoku w:val="0"/>
              <w:autoSpaceDE w:val="0"/>
              <w:autoSpaceDN w:val="0"/>
              <w:bidi w:val="0"/>
              <w:spacing w:after="0" w:line="360" w:lineRule="auto"/>
              <w:jc w:val="center"/>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1</w:t>
            </w:r>
          </w:p>
        </w:tc>
        <w:tc>
          <w:tcPr>
            <w:tcW w:w="1581" w:type="dxa"/>
            <w:vAlign w:val="center"/>
          </w:tcPr>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default" w:ascii="宋体" w:hAnsi="宋体" w:eastAsia="宋体" w:cs="宋体"/>
                <w:bCs/>
                <w:snapToGrid w:val="0"/>
                <w:color w:val="000000"/>
                <w:kern w:val="0"/>
                <w:sz w:val="21"/>
                <w:szCs w:val="21"/>
                <w:lang w:val="en-US" w:eastAsia="zh-CN"/>
              </w:rPr>
              <w:t>对本项目关键点、难点的理解及对策</w:t>
            </w:r>
          </w:p>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（10分）</w:t>
            </w:r>
          </w:p>
        </w:tc>
        <w:tc>
          <w:tcPr>
            <w:tcW w:w="62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根据对本项目的具体掌控情况，分析是否全面，关键点、难点理解是否全面，分析是否合理，措施是否可行，方法是否完善等方面进行评审，按优劣进行评审：</w:t>
            </w:r>
          </w:p>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1、对本项目具体掌控清楚，分析全面透彻，关键点、难点理解全面，分析合理，措施、方法完善得10分，每有一方面稍差减1分，本栏最低得7分；</w:t>
            </w:r>
          </w:p>
          <w:p>
            <w:pPr>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bCs/>
                <w:snapToGrid w:val="0"/>
                <w:color w:val="000000"/>
                <w:kern w:val="0"/>
                <w:sz w:val="21"/>
                <w:szCs w:val="21"/>
                <w:lang w:val="en-US" w:eastAsia="zh-CN" w:bidi="ar-SA"/>
              </w:rPr>
              <w:t>2、对本项目具体掌控较清楚，分析较全面透彻，关键点、难点理解较全面，分析较合理，措施、方法较完善得6分，每有一方面稍差减1分，本栏最低得3分；</w:t>
            </w:r>
          </w:p>
          <w:p>
            <w:pPr>
              <w:keepNext w:val="0"/>
              <w:keepLines w:val="0"/>
              <w:pageBreakBefore w:val="0"/>
              <w:widowControl/>
              <w:wordWrap/>
              <w:overflowPunct/>
              <w:topLinePunct w:val="0"/>
              <w:bidi w:val="0"/>
              <w:adjustRightInd w:val="0"/>
              <w:snapToGrid w:val="0"/>
              <w:spacing w:line="240" w:lineRule="auto"/>
              <w:jc w:val="both"/>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bidi="ar-SA"/>
              </w:rPr>
              <w:t>3、对本项目具体掌控一般，重点和难点分析有缺陷，措施、方法一般得2分，每有一方面稍差减1分，本栏最低得0分。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670" w:type="dxa"/>
            <w:vAlign w:val="center"/>
          </w:tcPr>
          <w:p>
            <w:pPr>
              <w:widowControl w:val="0"/>
              <w:kinsoku w:val="0"/>
              <w:autoSpaceDE w:val="0"/>
              <w:autoSpaceDN w:val="0"/>
              <w:bidi w:val="0"/>
              <w:spacing w:after="0" w:line="360" w:lineRule="auto"/>
              <w:jc w:val="center"/>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2</w:t>
            </w:r>
          </w:p>
        </w:tc>
        <w:tc>
          <w:tcPr>
            <w:tcW w:w="1581" w:type="dxa"/>
            <w:vAlign w:val="center"/>
          </w:tcPr>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default" w:ascii="宋体" w:hAnsi="宋体" w:eastAsia="宋体" w:cs="宋体"/>
                <w:bCs/>
                <w:snapToGrid w:val="0"/>
                <w:color w:val="000000"/>
                <w:kern w:val="0"/>
                <w:sz w:val="21"/>
                <w:szCs w:val="21"/>
                <w:lang w:val="en-US" w:eastAsia="zh-CN"/>
              </w:rPr>
              <w:t>编制方案的完整性和合理性</w:t>
            </w:r>
          </w:p>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（25分）</w:t>
            </w:r>
          </w:p>
        </w:tc>
        <w:tc>
          <w:tcPr>
            <w:tcW w:w="6271"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根据编制方案是否全面、是否合理、是否有针对性、是否有可行性，计划是否科学，方案是否符合项目特点等方面进行评审，按优劣进行评审：</w:t>
            </w:r>
          </w:p>
          <w:p>
            <w:pPr>
              <w:pStyle w:val="13"/>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1、编制方案全面、合理、有针对性、有可行性，计划科学、合理，方案符合项目特点得25分，每有一方面稍差减1分，本栏最低得18分；</w:t>
            </w:r>
          </w:p>
          <w:p>
            <w:pPr>
              <w:pStyle w:val="13"/>
              <w:keepNext w:val="0"/>
              <w:keepLines w:val="0"/>
              <w:pageBreakBefore w:val="0"/>
              <w:widowControl/>
              <w:kinsoku w:val="0"/>
              <w:wordWrap/>
              <w:overflowPunct/>
              <w:topLinePunct w:val="0"/>
              <w:autoSpaceDE w:val="0"/>
              <w:autoSpaceDN w:val="0"/>
              <w:bidi w:val="0"/>
              <w:adjustRightInd w:val="0"/>
              <w:snapToGrid w:val="0"/>
              <w:spacing w:before="39" w:after="0" w:line="240" w:lineRule="auto"/>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2、编制方案较全面、较合理、较有针对性、较有可行性，计划较科学，较合理，方案较符合项目特点得17分，每有一方面稍差减1分，本栏最低得10分；</w:t>
            </w:r>
          </w:p>
          <w:p>
            <w:pPr>
              <w:keepNext w:val="0"/>
              <w:keepLines w:val="0"/>
              <w:pageBreakBefore w:val="0"/>
              <w:widowControl/>
              <w:wordWrap/>
              <w:overflowPunct/>
              <w:topLinePunct w:val="0"/>
              <w:bidi w:val="0"/>
              <w:adjustRightInd w:val="0"/>
              <w:snapToGrid w:val="0"/>
              <w:spacing w:line="240" w:lineRule="auto"/>
              <w:jc w:val="both"/>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3、编制方案一般，计划一般，方案一般得9分，每有一方面稍差减1分，本栏最低得0分。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vAlign w:val="center"/>
          </w:tcPr>
          <w:p>
            <w:pPr>
              <w:widowControl w:val="0"/>
              <w:kinsoku w:val="0"/>
              <w:autoSpaceDE w:val="0"/>
              <w:autoSpaceDN w:val="0"/>
              <w:bidi w:val="0"/>
              <w:spacing w:after="0" w:line="360" w:lineRule="auto"/>
              <w:jc w:val="center"/>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3</w:t>
            </w:r>
          </w:p>
        </w:tc>
        <w:tc>
          <w:tcPr>
            <w:tcW w:w="1581" w:type="dxa"/>
            <w:vAlign w:val="center"/>
          </w:tcPr>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default" w:ascii="宋体" w:hAnsi="宋体" w:eastAsia="宋体" w:cs="宋体"/>
                <w:bCs/>
                <w:snapToGrid w:val="0"/>
                <w:color w:val="000000"/>
                <w:kern w:val="0"/>
                <w:sz w:val="21"/>
                <w:szCs w:val="21"/>
                <w:lang w:val="en-US" w:eastAsia="zh-CN"/>
              </w:rPr>
              <w:t>工作组织安排及进度计划安排</w:t>
            </w:r>
          </w:p>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（15分）</w:t>
            </w:r>
          </w:p>
        </w:tc>
        <w:tc>
          <w:tcPr>
            <w:tcW w:w="6271"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根据工作组织计划及进度安排的实施时间安排是否合理，是否可行，保障措施是否科学，是否先进，是否规范等方面进行评审，按优劣进行评审：</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1、工作组织计划及进度安排的实施时间安排合理、可行，保障措施科学先进、规范得15分，每有一方面稍差减1分，本栏最低得11分；</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2、工作组织计划及进度安排的实施时间安排较合理、较可行，保障措施较科学、较先进、较规范得10分，每有一方面稍差减1分，本栏最低得6分；</w:t>
            </w:r>
          </w:p>
          <w:p>
            <w:pPr>
              <w:keepNext w:val="0"/>
              <w:keepLines w:val="0"/>
              <w:pageBreakBefore w:val="0"/>
              <w:widowControl/>
              <w:wordWrap/>
              <w:overflowPunct/>
              <w:topLinePunct w:val="0"/>
              <w:bidi w:val="0"/>
              <w:adjustRightInd w:val="0"/>
              <w:snapToGrid w:val="0"/>
              <w:spacing w:line="240" w:lineRule="auto"/>
              <w:jc w:val="both"/>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3、工作组织计划及进度安排的实施时间安排一般，保障措施较一般得5分，每有一方面稍差减1分，本栏最低得0分。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670" w:type="dxa"/>
            <w:vAlign w:val="center"/>
          </w:tcPr>
          <w:p>
            <w:pPr>
              <w:widowControl w:val="0"/>
              <w:kinsoku w:val="0"/>
              <w:autoSpaceDE w:val="0"/>
              <w:autoSpaceDN w:val="0"/>
              <w:bidi w:val="0"/>
              <w:spacing w:after="0" w:line="360" w:lineRule="auto"/>
              <w:jc w:val="center"/>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4</w:t>
            </w:r>
          </w:p>
        </w:tc>
        <w:tc>
          <w:tcPr>
            <w:tcW w:w="1581" w:type="dxa"/>
            <w:vAlign w:val="center"/>
          </w:tcPr>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default" w:ascii="宋体" w:hAnsi="宋体" w:eastAsia="宋体" w:cs="宋体"/>
                <w:bCs/>
                <w:snapToGrid w:val="0"/>
                <w:color w:val="000000"/>
                <w:kern w:val="0"/>
                <w:sz w:val="21"/>
                <w:szCs w:val="21"/>
                <w:lang w:val="en-US" w:eastAsia="zh-CN"/>
              </w:rPr>
              <w:t>质量保证措施</w:t>
            </w:r>
          </w:p>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（10分）</w:t>
            </w:r>
          </w:p>
        </w:tc>
        <w:tc>
          <w:tcPr>
            <w:tcW w:w="6271"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根据服务质量保证措施及承诺是否全面、是否针对性强，承诺是否优良，质量保证措施及承诺整体是否完善等方面进行评审，</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按优劣进行打分：</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1、服务质量保证措施及承诺整体较完善，得10分，每有一方面稍差减1分，本栏最低得7分；</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2、服务质量保证措施及承诺整体一般，得6分，每有一方面稍差减1分，本栏最低得3分；</w:t>
            </w:r>
          </w:p>
          <w:p>
            <w:pPr>
              <w:keepNext w:val="0"/>
              <w:keepLines w:val="0"/>
              <w:pageBreakBefore w:val="0"/>
              <w:widowControl/>
              <w:wordWrap/>
              <w:overflowPunct/>
              <w:topLinePunct w:val="0"/>
              <w:bidi w:val="0"/>
              <w:adjustRightInd w:val="0"/>
              <w:snapToGrid w:val="0"/>
              <w:spacing w:line="240" w:lineRule="auto"/>
              <w:jc w:val="both"/>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3、服务质量保证措施及承诺整体较差，得2分，每有一方面稍差减1分，缺项得0分。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70" w:type="dxa"/>
            <w:vAlign w:val="center"/>
          </w:tcPr>
          <w:p>
            <w:pPr>
              <w:widowControl w:val="0"/>
              <w:kinsoku w:val="0"/>
              <w:autoSpaceDE w:val="0"/>
              <w:autoSpaceDN w:val="0"/>
              <w:bidi w:val="0"/>
              <w:spacing w:after="0" w:line="360" w:lineRule="auto"/>
              <w:jc w:val="center"/>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5</w:t>
            </w:r>
          </w:p>
        </w:tc>
        <w:tc>
          <w:tcPr>
            <w:tcW w:w="1581" w:type="dxa"/>
            <w:vAlign w:val="center"/>
          </w:tcPr>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default" w:ascii="宋体" w:hAnsi="宋体" w:eastAsia="宋体" w:cs="宋体"/>
                <w:bCs/>
                <w:snapToGrid w:val="0"/>
                <w:color w:val="000000"/>
                <w:kern w:val="0"/>
                <w:sz w:val="21"/>
                <w:szCs w:val="21"/>
                <w:lang w:val="en-US" w:eastAsia="zh-CN"/>
              </w:rPr>
              <w:t>服务保证措施及承诺</w:t>
            </w:r>
          </w:p>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（10分）</w:t>
            </w:r>
          </w:p>
        </w:tc>
        <w:tc>
          <w:tcPr>
            <w:tcW w:w="6271"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根据供应商的服务承诺优劣进行综合评价：</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服务保障体系及措施完善，服务响应快，响应程度高或优于采购需求的，得10分；</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服务保障体系及措施较好，服务响应较快，满足采购需求，得7分；</w:t>
            </w:r>
          </w:p>
          <w:p>
            <w:pPr>
              <w:keepNext w:val="0"/>
              <w:keepLines w:val="0"/>
              <w:pageBreakBefore w:val="0"/>
              <w:widowControl/>
              <w:wordWrap/>
              <w:overflowPunct/>
              <w:topLinePunct w:val="0"/>
              <w:bidi w:val="0"/>
              <w:adjustRightInd w:val="0"/>
              <w:snapToGrid w:val="0"/>
              <w:spacing w:line="240" w:lineRule="auto"/>
              <w:jc w:val="both"/>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服务保障体系及措施基本符合采购要求，但服务响应速度较差或一般，得3分。</w:t>
            </w:r>
            <w:r>
              <w:rPr>
                <w:rFonts w:hint="eastAsia" w:ascii="宋体" w:hAnsi="宋体" w:eastAsia="宋体" w:cs="宋体"/>
                <w:bCs/>
                <w:snapToGrid w:val="0"/>
                <w:color w:val="000000"/>
                <w:kern w:val="0"/>
                <w:sz w:val="21"/>
                <w:szCs w:val="21"/>
                <w:lang w:val="en-US" w:eastAsia="zh-CN"/>
              </w:rPr>
              <w:t>本栏最低得0分。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670" w:type="dxa"/>
            <w:vAlign w:val="center"/>
          </w:tcPr>
          <w:p>
            <w:pPr>
              <w:widowControl w:val="0"/>
              <w:kinsoku w:val="0"/>
              <w:autoSpaceDE w:val="0"/>
              <w:autoSpaceDN w:val="0"/>
              <w:bidi w:val="0"/>
              <w:spacing w:after="0" w:line="360" w:lineRule="auto"/>
              <w:jc w:val="center"/>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6</w:t>
            </w:r>
          </w:p>
        </w:tc>
        <w:tc>
          <w:tcPr>
            <w:tcW w:w="1581" w:type="dxa"/>
            <w:vAlign w:val="center"/>
          </w:tcPr>
          <w:p>
            <w:pPr>
              <w:pStyle w:val="13"/>
              <w:widowControl w:val="0"/>
              <w:kinsoku w:val="0"/>
              <w:autoSpaceDE w:val="0"/>
              <w:autoSpaceDN w:val="0"/>
              <w:spacing w:before="39" w:after="0"/>
              <w:jc w:val="center"/>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其他：业绩得分</w:t>
            </w:r>
          </w:p>
          <w:p>
            <w:pPr>
              <w:pStyle w:val="13"/>
              <w:widowControl w:val="0"/>
              <w:kinsoku w:val="0"/>
              <w:autoSpaceDE w:val="0"/>
              <w:autoSpaceDN w:val="0"/>
              <w:spacing w:before="39" w:after="0"/>
              <w:jc w:val="center"/>
              <w:textAlignment w:val="baseline"/>
              <w:rPr>
                <w:rFonts w:hint="default"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（10分）</w:t>
            </w:r>
          </w:p>
        </w:tc>
        <w:tc>
          <w:tcPr>
            <w:tcW w:w="6271"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2022年9月1日至今，每提供一份同类服务项目相关项目的项目建议书、可行性研究报告得2分；每参与一项低空经济团体标准得2分、国家标准得4分；每提供一份工程类或基础设施类项目建议书、可行性研究报告编制业绩得2分。本栏最高得10分。</w:t>
            </w:r>
          </w:p>
          <w:p>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注：同类服务项目、团体标准或国家标准是指低空经济相关类项目；工程类或基础设施类项目可不相关；时间以合同/技术服务合作协议签订时间为准，需提供合同或技术服务合作协议的扫描件。</w:t>
            </w:r>
          </w:p>
        </w:tc>
      </w:tr>
    </w:tbl>
    <w:p>
      <w:pPr>
        <w:numPr>
          <w:ilvl w:val="0"/>
          <w:numId w:val="0"/>
        </w:numPr>
        <w:spacing w:line="220" w:lineRule="atLeast"/>
        <w:jc w:val="left"/>
        <w:rPr>
          <w:rFonts w:hint="eastAsia" w:ascii="仿宋" w:hAnsi="仿宋" w:eastAsia="仿宋"/>
          <w:b/>
          <w:bCs/>
          <w:sz w:val="32"/>
          <w:szCs w:val="36"/>
          <w:lang w:val="en-US" w:eastAsia="zh-CN"/>
        </w:rPr>
        <w:sectPr>
          <w:pgSz w:w="11906" w:h="16838"/>
          <w:pgMar w:top="1440" w:right="1800" w:bottom="1440" w:left="1800" w:header="708" w:footer="708" w:gutter="0"/>
          <w:pgNumType w:fmt="decimal"/>
          <w:cols w:space="708" w:num="1"/>
          <w:docGrid w:linePitch="360" w:charSpace="0"/>
        </w:sectPr>
      </w:pPr>
    </w:p>
    <w:p>
      <w:pPr>
        <w:pStyle w:val="3"/>
        <w:bidi w:val="0"/>
        <w:jc w:val="both"/>
        <w:rPr>
          <w:rFonts w:hint="eastAsia"/>
          <w:b/>
          <w:sz w:val="24"/>
          <w:szCs w:val="20"/>
          <w:lang w:val="en-US" w:eastAsia="zh-CN"/>
        </w:rPr>
      </w:pPr>
      <w:r>
        <w:rPr>
          <w:rFonts w:hint="eastAsia"/>
          <w:b/>
          <w:sz w:val="24"/>
          <w:szCs w:val="20"/>
          <w:lang w:val="en-US" w:eastAsia="zh-CN"/>
        </w:rPr>
        <w:t>附件：供应商二次报价表</w:t>
      </w:r>
    </w:p>
    <w:p>
      <w:pPr>
        <w:pStyle w:val="3"/>
        <w:bidi w:val="0"/>
        <w:jc w:val="center"/>
        <w:rPr>
          <w:rFonts w:hint="eastAsia"/>
          <w:b/>
          <w:sz w:val="28"/>
          <w:szCs w:val="21"/>
          <w:lang w:val="en-US" w:eastAsia="zh-CN"/>
        </w:rPr>
      </w:pPr>
      <w:r>
        <w:rPr>
          <w:rFonts w:hint="eastAsia"/>
          <w:b/>
          <w:sz w:val="28"/>
          <w:szCs w:val="21"/>
          <w:lang w:val="en-US" w:eastAsia="zh-CN"/>
        </w:rPr>
        <w:t>竞争性磋商最终报价表</w:t>
      </w:r>
    </w:p>
    <w:tbl>
      <w:tblPr>
        <w:tblStyle w:val="11"/>
        <w:tblW w:w="827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6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项目名称</w:t>
            </w:r>
          </w:p>
        </w:tc>
        <w:tc>
          <w:tcPr>
            <w:tcW w:w="621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6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项目编号</w:t>
            </w:r>
          </w:p>
        </w:tc>
        <w:tc>
          <w:tcPr>
            <w:tcW w:w="621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6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供应商名称</w:t>
            </w:r>
          </w:p>
        </w:tc>
        <w:tc>
          <w:tcPr>
            <w:tcW w:w="621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trPr>
        <w:tc>
          <w:tcPr>
            <w:tcW w:w="206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最终报价</w:t>
            </w:r>
          </w:p>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（人民币）</w:t>
            </w:r>
          </w:p>
        </w:tc>
        <w:tc>
          <w:tcPr>
            <w:tcW w:w="6212" w:type="dxa"/>
            <w:vAlign w:val="center"/>
          </w:tcPr>
          <w:p>
            <w:pPr>
              <w:widowControl w:val="0"/>
              <w:kinsoku w:val="0"/>
              <w:autoSpaceDE w:val="0"/>
              <w:autoSpaceDN w:val="0"/>
              <w:bidi w:val="0"/>
              <w:spacing w:after="0" w:line="36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大写：</w:t>
            </w:r>
          </w:p>
          <w:p>
            <w:pPr>
              <w:widowControl w:val="0"/>
              <w:kinsoku w:val="0"/>
              <w:autoSpaceDE w:val="0"/>
              <w:autoSpaceDN w:val="0"/>
              <w:bidi w:val="0"/>
              <w:spacing w:after="0" w:line="36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6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服务期限</w:t>
            </w:r>
          </w:p>
        </w:tc>
        <w:tc>
          <w:tcPr>
            <w:tcW w:w="621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6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质量标准</w:t>
            </w:r>
          </w:p>
        </w:tc>
        <w:tc>
          <w:tcPr>
            <w:tcW w:w="621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61"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备注</w:t>
            </w:r>
          </w:p>
        </w:tc>
        <w:tc>
          <w:tcPr>
            <w:tcW w:w="6212"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bl>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480" w:lineRule="auto"/>
        <w:ind w:left="144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r>
        <w:rPr>
          <w:rFonts w:hint="default" w:ascii="宋体" w:hAnsi="宋体" w:eastAsia="宋体" w:cs="宋体"/>
          <w:snapToGrid w:val="0"/>
          <w:color w:val="000000"/>
          <w:kern w:val="0"/>
          <w:sz w:val="21"/>
          <w:szCs w:val="21"/>
          <w:u w:val="none"/>
          <w:lang w:val="en-US" w:eastAsia="zh-CN"/>
        </w:rPr>
        <w:t>供应商名称：</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（盖公章）</w:t>
      </w:r>
    </w:p>
    <w:p>
      <w:pPr>
        <w:kinsoku w:val="0"/>
        <w:autoSpaceDE w:val="0"/>
        <w:autoSpaceDN w:val="0"/>
        <w:bidi w:val="0"/>
        <w:spacing w:after="0" w:line="480" w:lineRule="auto"/>
        <w:ind w:left="144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r>
        <w:rPr>
          <w:rFonts w:hint="default" w:ascii="宋体" w:hAnsi="宋体" w:eastAsia="宋体" w:cs="宋体"/>
          <w:snapToGrid w:val="0"/>
          <w:color w:val="000000"/>
          <w:kern w:val="0"/>
          <w:sz w:val="21"/>
          <w:szCs w:val="21"/>
          <w:u w:val="none"/>
          <w:lang w:val="en-US" w:eastAsia="zh-CN"/>
        </w:rPr>
        <w:t>法定代表人或委托代理人：</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（签字或盖章）</w:t>
      </w:r>
    </w:p>
    <w:p>
      <w:pPr>
        <w:kinsoku w:val="0"/>
        <w:autoSpaceDE w:val="0"/>
        <w:autoSpaceDN w:val="0"/>
        <w:bidi w:val="0"/>
        <w:spacing w:after="0" w:line="360" w:lineRule="auto"/>
        <w:ind w:left="144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r>
        <w:rPr>
          <w:rFonts w:hint="eastAsia" w:ascii="宋体" w:hAnsi="宋体" w:eastAsia="宋体" w:cs="宋体"/>
          <w:snapToGrid w:val="0"/>
          <w:color w:val="000000"/>
          <w:kern w:val="0"/>
          <w:sz w:val="21"/>
          <w:szCs w:val="21"/>
          <w:u w:val="none"/>
          <w:lang w:val="en-US" w:eastAsia="zh-CN"/>
        </w:rPr>
        <w:t>日     期：</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年</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月</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日</w:t>
      </w:r>
    </w:p>
    <w:p>
      <w:pPr>
        <w:kinsoku w:val="0"/>
        <w:autoSpaceDE w:val="0"/>
        <w:autoSpaceDN w:val="0"/>
        <w:bidi w:val="0"/>
        <w:spacing w:after="0" w:line="360" w:lineRule="auto"/>
        <w:ind w:left="288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p>
    <w:p>
      <w:pPr>
        <w:numPr>
          <w:ilvl w:val="0"/>
          <w:numId w:val="0"/>
        </w:numPr>
        <w:spacing w:line="220" w:lineRule="atLeast"/>
        <w:jc w:val="left"/>
        <w:rPr>
          <w:rFonts w:hint="eastAsia" w:ascii="仿宋" w:hAnsi="仿宋" w:eastAsia="仿宋"/>
          <w:b/>
          <w:bCs/>
          <w:sz w:val="32"/>
          <w:szCs w:val="36"/>
          <w:lang w:val="en-US" w:eastAsia="zh-CN"/>
        </w:rPr>
      </w:pPr>
    </w:p>
    <w:p>
      <w:pPr>
        <w:kinsoku w:val="0"/>
        <w:autoSpaceDE w:val="0"/>
        <w:autoSpaceDN w:val="0"/>
        <w:bidi w:val="0"/>
        <w:spacing w:after="0" w:line="360" w:lineRule="auto"/>
        <w:ind w:firstLine="420" w:firstLineChars="0"/>
        <w:jc w:val="left"/>
        <w:textAlignment w:val="baseline"/>
        <w:rPr>
          <w:rFonts w:hint="eastAsia"/>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1"/>
          <w:szCs w:val="21"/>
          <w:lang w:val="en-US" w:eastAsia="zh-CN"/>
        </w:rPr>
        <w:t>说明：</w:t>
      </w:r>
      <w:r>
        <w:rPr>
          <w:rFonts w:hint="eastAsia" w:ascii="宋体" w:hAnsi="宋体" w:eastAsia="宋体" w:cs="宋体"/>
          <w:snapToGrid w:val="0"/>
          <w:color w:val="000000"/>
          <w:kern w:val="0"/>
          <w:sz w:val="21"/>
          <w:szCs w:val="21"/>
          <w:u w:val="single"/>
          <w:lang w:val="en-US" w:eastAsia="zh-CN"/>
        </w:rPr>
        <w:t>1、此表报价不得高于响应文件中的磋商报价，否则将导致响应文件无效。2、此表无需放置响应文件中，供应商应准备多份盖章原件，防止现场填报时出现错误，对自身造成不利影响。</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352FA"/>
    <w:rsid w:val="0B2F609E"/>
    <w:rsid w:val="167164D5"/>
    <w:rsid w:val="240B2089"/>
    <w:rsid w:val="36F352FA"/>
    <w:rsid w:val="42436947"/>
    <w:rsid w:val="433078D6"/>
    <w:rsid w:val="59F02859"/>
    <w:rsid w:val="5A577DED"/>
    <w:rsid w:val="5C97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overflowPunct w:val="0"/>
      <w:autoSpaceDE w:val="0"/>
      <w:autoSpaceDN w:val="0"/>
      <w:adjustRightInd w:val="0"/>
      <w:textAlignment w:val="baseline"/>
    </w:pPr>
    <w:rPr>
      <w:rFonts w:ascii="Times New Roman" w:hAnsi="Times New Roman" w:eastAsia="宋体" w:cs="Times New Roman"/>
      <w:kern w:val="28"/>
      <w:lang w:val="en-US" w:eastAsia="zh-CN" w:bidi="ar-SA"/>
    </w:rPr>
  </w:style>
  <w:style w:type="paragraph" w:styleId="4">
    <w:name w:val="Normal Indent"/>
    <w:basedOn w:val="1"/>
    <w:next w:val="1"/>
    <w:qFormat/>
    <w:uiPriority w:val="0"/>
    <w:pPr>
      <w:ind w:firstLine="420" w:firstLineChars="200"/>
    </w:pPr>
  </w:style>
  <w:style w:type="paragraph" w:styleId="5">
    <w:name w:val="Body Text"/>
    <w:basedOn w:val="1"/>
    <w:next w:val="6"/>
    <w:qFormat/>
    <w:uiPriority w:val="1"/>
    <w:pPr>
      <w:spacing w:before="91"/>
      <w:ind w:left="116"/>
    </w:pPr>
    <w:rPr>
      <w:rFonts w:ascii="宋体" w:hAnsi="宋体" w:eastAsia="宋体"/>
      <w:sz w:val="24"/>
      <w:szCs w:val="24"/>
    </w:rPr>
  </w:style>
  <w:style w:type="paragraph" w:styleId="6">
    <w:name w:val="toc 2"/>
    <w:basedOn w:val="1"/>
    <w:next w:val="1"/>
    <w:semiHidden/>
    <w:qFormat/>
    <w:uiPriority w:val="0"/>
    <w:pPr>
      <w:ind w:left="210"/>
      <w:jc w:val="left"/>
    </w:pPr>
    <w:rPr>
      <w:smallCaps/>
      <w:sz w:val="20"/>
      <w:szCs w:val="20"/>
    </w:rPr>
  </w:style>
  <w:style w:type="paragraph" w:styleId="7">
    <w:name w:val="Body Text Indent"/>
    <w:basedOn w:val="1"/>
    <w:qFormat/>
    <w:uiPriority w:val="0"/>
    <w:pPr>
      <w:ind w:firstLine="570"/>
    </w:pPr>
    <w:rPr>
      <w:rFonts w:ascii="宋体" w:hAnsi="宋体"/>
      <w:sz w:val="28"/>
    </w:rPr>
  </w:style>
  <w:style w:type="paragraph" w:styleId="8">
    <w:name w:val="Body Text First Indent"/>
    <w:basedOn w:val="5"/>
    <w:next w:val="4"/>
    <w:qFormat/>
    <w:uiPriority w:val="0"/>
    <w:pPr>
      <w:ind w:firstLine="420" w:firstLineChars="100"/>
    </w:pPr>
  </w:style>
  <w:style w:type="paragraph" w:styleId="9">
    <w:name w:val="Body Text First Indent 2"/>
    <w:basedOn w:val="7"/>
    <w:qFormat/>
    <w:uiPriority w:val="0"/>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2025-10-15T03:52:00Z</dcterms:created>
  <dc:creator> </dc:creator>
  <cp:lastModifiedBy> </cp:lastModifiedBy>
  <dcterms:modified xsi:type="dcterms:W3CDTF">2025-10-15T03:53:24Z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767E8A163A00419189120636706E6542</vt:lpwstr>
  </property>
</Properties>
</file>